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61F" w:rsidRPr="00E5161F" w:rsidRDefault="00E5161F" w:rsidP="00434138">
      <w:pPr>
        <w:spacing w:line="240" w:lineRule="auto"/>
        <w:jc w:val="left"/>
        <w:rPr>
          <w:b/>
          <w:sz w:val="52"/>
          <w:szCs w:val="52"/>
        </w:rPr>
      </w:pPr>
      <w:bookmarkStart w:id="0" w:name="_Toc380939904"/>
      <w:r w:rsidRPr="00E5161F">
        <w:rPr>
          <w:b/>
          <w:sz w:val="52"/>
          <w:szCs w:val="52"/>
        </w:rPr>
        <w:t>Pittacus</w:t>
      </w:r>
      <w:bookmarkEnd w:id="0"/>
      <w:r w:rsidR="00434138">
        <w:rPr>
          <w:b/>
          <w:sz w:val="52"/>
          <w:szCs w:val="52"/>
        </w:rPr>
        <w:t>, de eerste bescheiden filosoof</w:t>
      </w:r>
    </w:p>
    <w:p w:rsidR="00E5161F" w:rsidRDefault="00E5161F" w:rsidP="00E5161F"/>
    <w:p w:rsidR="00E5161F" w:rsidRPr="00083EF7" w:rsidRDefault="00E5161F" w:rsidP="00E5161F">
      <w:r>
        <w:rPr>
          <w:noProof/>
          <w:color w:val="0000FF"/>
          <w:lang w:eastAsia="nl-NL"/>
        </w:rPr>
        <w:drawing>
          <wp:anchor distT="0" distB="0" distL="114300" distR="114300" simplePos="0" relativeHeight="251659264" behindDoc="0" locked="0" layoutInCell="1" allowOverlap="1" wp14:anchorId="2478365C" wp14:editId="32CA36B2">
            <wp:simplePos x="0" y="0"/>
            <wp:positionH relativeFrom="column">
              <wp:posOffset>1986280</wp:posOffset>
            </wp:positionH>
            <wp:positionV relativeFrom="paragraph">
              <wp:posOffset>147955</wp:posOffset>
            </wp:positionV>
            <wp:extent cx="1831340" cy="2747645"/>
            <wp:effectExtent l="0" t="0" r="0" b="0"/>
            <wp:wrapSquare wrapText="bothSides"/>
            <wp:docPr id="140" name="Afbeelding 140" descr="File:Pittacos Louvre Ma 357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le:Pittacos Louvre Ma 3572.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1340" cy="2747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161F" w:rsidRDefault="00E5161F" w:rsidP="00E5161F">
      <w:pPr>
        <w:rPr>
          <w:rFonts w:eastAsiaTheme="majorEastAsia" w:cstheme="majorBidi"/>
          <w:b/>
          <w:bCs/>
          <w:sz w:val="56"/>
          <w:szCs w:val="26"/>
        </w:rPr>
      </w:pPr>
    </w:p>
    <w:p w:rsidR="00E5161F" w:rsidRDefault="00E5161F" w:rsidP="00E5161F"/>
    <w:p w:rsidR="00E5161F" w:rsidRDefault="00E5161F" w:rsidP="00E5161F"/>
    <w:p w:rsidR="00E5161F" w:rsidRDefault="00E5161F" w:rsidP="00E5161F"/>
    <w:p w:rsidR="00E5161F" w:rsidRDefault="00E5161F" w:rsidP="00E5161F"/>
    <w:p w:rsidR="00E5161F" w:rsidRDefault="00E5161F" w:rsidP="00E5161F"/>
    <w:p w:rsidR="00E5161F" w:rsidRDefault="00E5161F" w:rsidP="00E5161F"/>
    <w:p w:rsidR="00E5161F" w:rsidRDefault="00E5161F" w:rsidP="00E5161F"/>
    <w:p w:rsidR="00E5161F" w:rsidRDefault="00E5161F" w:rsidP="00E5161F"/>
    <w:p w:rsidR="00E5161F" w:rsidRDefault="00E5161F" w:rsidP="00E5161F"/>
    <w:p w:rsidR="00E5161F" w:rsidRDefault="00E5161F" w:rsidP="00E5161F"/>
    <w:p w:rsidR="00E5161F" w:rsidRDefault="00E5161F" w:rsidP="00E5161F"/>
    <w:p w:rsidR="00E5161F" w:rsidRDefault="00E5161F" w:rsidP="00E5161F"/>
    <w:p w:rsidR="00E5161F" w:rsidRDefault="00E5161F" w:rsidP="00E5161F"/>
    <w:p w:rsidR="00E5161F" w:rsidRDefault="00E5161F" w:rsidP="00E5161F"/>
    <w:p w:rsidR="00E5161F" w:rsidRDefault="00E5161F" w:rsidP="00E5161F"/>
    <w:p w:rsidR="00E5161F" w:rsidRDefault="00E5161F" w:rsidP="00E5161F">
      <w:pPr>
        <w:jc w:val="center"/>
        <w:rPr>
          <w:i/>
          <w:sz w:val="22"/>
        </w:rPr>
      </w:pPr>
      <w:r w:rsidRPr="00083EF7">
        <w:rPr>
          <w:i/>
          <w:sz w:val="22"/>
        </w:rPr>
        <w:t>Buste van Pittacus</w:t>
      </w:r>
      <w:r>
        <w:rPr>
          <w:i/>
          <w:sz w:val="22"/>
        </w:rPr>
        <w:t xml:space="preserve"> </w:t>
      </w:r>
      <w:r w:rsidRPr="00083EF7">
        <w:rPr>
          <w:i/>
          <w:sz w:val="22"/>
        </w:rPr>
        <w:t xml:space="preserve">in het Louvre, </w:t>
      </w:r>
    </w:p>
    <w:p w:rsidR="00E5161F" w:rsidRDefault="00E5161F" w:rsidP="00E5161F">
      <w:pPr>
        <w:jc w:val="center"/>
        <w:rPr>
          <w:i/>
          <w:sz w:val="22"/>
        </w:rPr>
      </w:pPr>
      <w:r>
        <w:rPr>
          <w:i/>
          <w:sz w:val="22"/>
        </w:rPr>
        <w:t>Romeinse k</w:t>
      </w:r>
      <w:r w:rsidRPr="00083EF7">
        <w:rPr>
          <w:i/>
          <w:sz w:val="22"/>
        </w:rPr>
        <w:t>opie</w:t>
      </w:r>
      <w:r>
        <w:rPr>
          <w:i/>
          <w:sz w:val="22"/>
        </w:rPr>
        <w:t xml:space="preserve"> uit 1</w:t>
      </w:r>
      <w:r w:rsidRPr="00E45141">
        <w:rPr>
          <w:i/>
          <w:sz w:val="22"/>
          <w:vertAlign w:val="superscript"/>
        </w:rPr>
        <w:t>e</w:t>
      </w:r>
      <w:r>
        <w:rPr>
          <w:i/>
          <w:sz w:val="22"/>
        </w:rPr>
        <w:t xml:space="preserve"> eeuw naar een Grieks origineel</w:t>
      </w:r>
      <w:r w:rsidRPr="00083EF7">
        <w:rPr>
          <w:i/>
          <w:sz w:val="22"/>
        </w:rPr>
        <w:t xml:space="preserve"> </w:t>
      </w:r>
    </w:p>
    <w:p w:rsidR="00E5161F" w:rsidRDefault="00E5161F" w:rsidP="00E5161F">
      <w:pPr>
        <w:jc w:val="center"/>
      </w:pPr>
    </w:p>
    <w:p w:rsidR="00E5161F" w:rsidRDefault="00E5161F" w:rsidP="00E5161F"/>
    <w:p w:rsidR="00E5161F" w:rsidRDefault="00E5161F" w:rsidP="00E5161F">
      <w:r>
        <w:t xml:space="preserve">Pittacus (rond 600 vóór het jaar 0) is één van de 4 personen die in elk lijstje uit de oudheid van “de 7 wijzen” is opgenomen (naast Thales, Solon en Bias). </w:t>
      </w:r>
    </w:p>
    <w:p w:rsidR="00E5161F" w:rsidRDefault="00E5161F" w:rsidP="00E5161F"/>
    <w:p w:rsidR="00E5161F" w:rsidRDefault="00E5161F" w:rsidP="00E5161F">
      <w:pPr>
        <w:pStyle w:val="Kop4"/>
      </w:pPr>
      <w:r>
        <w:t>De tuin</w:t>
      </w:r>
    </w:p>
    <w:p w:rsidR="00E5161F" w:rsidRDefault="00E5161F" w:rsidP="00E5161F"/>
    <w:p w:rsidR="00E5161F" w:rsidRDefault="00E5161F" w:rsidP="00E5161F">
      <w:r>
        <w:t xml:space="preserve">Pittacus was een generaal van de troepen van de stad Mytilene, hoofdstad van Lesbos. </w:t>
      </w:r>
    </w:p>
    <w:p w:rsidR="00E5161F" w:rsidRDefault="00E5161F" w:rsidP="00E5161F">
      <w:r>
        <w:t>Hij won een veldslag tegen de Atheense troepen. Daarom werd hem het bestuur van de stad toevertrouwd. Gedurende 10 jaar voerde hij een “wijs” bestuur, gericht op verzoening, en stelde het staatsbestel op orde.</w:t>
      </w:r>
    </w:p>
    <w:p w:rsidR="00E5161F" w:rsidRDefault="00E5161F" w:rsidP="00E5161F">
      <w:r>
        <w:t>Bij zijn aftreden wilden de inwoners hem bedanken:</w:t>
      </w:r>
    </w:p>
    <w:p w:rsidR="00E5161F" w:rsidRDefault="00E5161F" w:rsidP="00E5161F"/>
    <w:p w:rsidR="00E5161F" w:rsidRDefault="00E5161F" w:rsidP="00E5161F">
      <w:pPr>
        <w:ind w:left="709"/>
        <w:rPr>
          <w:i/>
        </w:rPr>
      </w:pPr>
      <w:r>
        <w:rPr>
          <w:i/>
        </w:rPr>
        <w:t>De Mytileners schonken hem ook een stuk land en hij wijdde dat aan een godheid. Het heet nu nog Pittacus’ land.</w:t>
      </w:r>
      <w:r>
        <w:rPr>
          <w:rStyle w:val="Voetnootmarkering"/>
          <w:i/>
        </w:rPr>
        <w:footnoteReference w:id="1"/>
      </w:r>
    </w:p>
    <w:p w:rsidR="00E5161F" w:rsidRDefault="00E5161F" w:rsidP="00E5161F">
      <w:pPr>
        <w:ind w:left="709"/>
        <w:rPr>
          <w:i/>
        </w:rPr>
      </w:pPr>
    </w:p>
    <w:p w:rsidR="00E5161F" w:rsidRDefault="00E5161F" w:rsidP="00E5161F">
      <w:r>
        <w:t>Pittacus behoudt de grond dus niet voor zichzelf, maar stelt hem ter beschikking van de eredienst, maar wel niet helemaal:</w:t>
      </w:r>
    </w:p>
    <w:p w:rsidR="00E5161F" w:rsidRDefault="00E5161F" w:rsidP="00E5161F"/>
    <w:p w:rsidR="00E5161F" w:rsidRDefault="00E5161F" w:rsidP="00E5161F">
      <w:pPr>
        <w:ind w:left="709"/>
        <w:rPr>
          <w:i/>
        </w:rPr>
      </w:pPr>
      <w:r>
        <w:rPr>
          <w:i/>
        </w:rPr>
        <w:t>Volgens Sosicrates zonderde hij voor zichzelf een klein stukje af en verklaarde hij dat de helft meer was dan het geheel.</w:t>
      </w:r>
      <w:r>
        <w:rPr>
          <w:rStyle w:val="Voetnootmarkering"/>
          <w:i/>
        </w:rPr>
        <w:footnoteReference w:id="2"/>
      </w:r>
    </w:p>
    <w:p w:rsidR="00E5161F" w:rsidRDefault="00E5161F" w:rsidP="00E5161F">
      <w:pPr>
        <w:ind w:left="709"/>
        <w:rPr>
          <w:i/>
        </w:rPr>
      </w:pPr>
    </w:p>
    <w:p w:rsidR="00E5161F" w:rsidRPr="001C0351" w:rsidRDefault="00E5161F" w:rsidP="00E5161F">
      <w:r>
        <w:lastRenderedPageBreak/>
        <w:t>We weten niet hoe dat domein eruit zag, wat er op bebouwd werd, laat staan dat we er een afbeelding kunnen van geven, maar we vernemen het essentiële: een mens moet geen groter stuk land aannemen dan hij nodig heeft.</w:t>
      </w:r>
    </w:p>
    <w:p w:rsidR="00E5161F" w:rsidRDefault="00E5161F" w:rsidP="00E5161F"/>
    <w:p w:rsidR="00E5161F" w:rsidRDefault="00E5161F" w:rsidP="00E5161F">
      <w:pPr>
        <w:pStyle w:val="Kop4"/>
      </w:pPr>
      <w:r>
        <w:t>De filosofie</w:t>
      </w:r>
    </w:p>
    <w:p w:rsidR="00E5161F" w:rsidRDefault="00E5161F" w:rsidP="00E5161F"/>
    <w:p w:rsidR="00E5161F" w:rsidRDefault="00E5161F" w:rsidP="00E5161F">
      <w:r>
        <w:t xml:space="preserve">Pittacus bekommerde zich, voor zover we kunnen opmaken uit de overgeleverde fragmenten, niet over hoe we kennis kunnen opdoen of over de wereld in elkaar zit. </w:t>
      </w:r>
    </w:p>
    <w:p w:rsidR="00E5161F" w:rsidRDefault="00E5161F" w:rsidP="00E5161F">
      <w:r>
        <w:t>Als wijze nam hij echter standpunten in over de vraag hoe we best leven (zingevingsethiek) en hoe we best omgaan met onze medemensen (samenlevingsethiek).</w:t>
      </w:r>
    </w:p>
    <w:p w:rsidR="00E5161F" w:rsidRDefault="00E5161F" w:rsidP="00E5161F"/>
    <w:p w:rsidR="00E5161F" w:rsidRDefault="00E5161F" w:rsidP="00E5161F">
      <w:pPr>
        <w:pStyle w:val="Kop5"/>
      </w:pPr>
      <w:r>
        <w:t>Zingevingsethiek</w:t>
      </w:r>
    </w:p>
    <w:p w:rsidR="00E5161F" w:rsidRPr="00CF35C8" w:rsidRDefault="00E5161F" w:rsidP="00E5161F"/>
    <w:p w:rsidR="007329B4" w:rsidRDefault="007329B4" w:rsidP="007329B4">
      <w:r>
        <w:t>Het leven bevat onheil, maar het is mogelijk dit voor een stuk af te wenden. Dit moet men in de mate van het mogelijke proberen</w:t>
      </w:r>
      <w:r w:rsidR="00A660D6">
        <w:t xml:space="preserve">, maar men moet ook aanvaarden dat men niet alles kan en onheil soms toch komt:  </w:t>
      </w:r>
    </w:p>
    <w:p w:rsidR="007329B4" w:rsidRDefault="007329B4" w:rsidP="007329B4"/>
    <w:p w:rsidR="007329B4" w:rsidRDefault="007329B4" w:rsidP="007329B4">
      <w:pPr>
        <w:ind w:left="709"/>
        <w:rPr>
          <w:i/>
        </w:rPr>
      </w:pPr>
      <w:r>
        <w:rPr>
          <w:i/>
        </w:rPr>
        <w:t>Verstandige mensen, leerde hij, treffen voordat onheil komt voorzieningen, zodat het niet komt, en moedige mannen verdragen het dapper als het komt.</w:t>
      </w:r>
      <w:r w:rsidR="00A660D6">
        <w:rPr>
          <w:rStyle w:val="Voetnootmarkering"/>
          <w:i/>
        </w:rPr>
        <w:footnoteReference w:id="3"/>
      </w:r>
    </w:p>
    <w:p w:rsidR="00A660D6" w:rsidRPr="007329B4" w:rsidRDefault="00A660D6" w:rsidP="00A660D6">
      <w:pPr>
        <w:rPr>
          <w:i/>
        </w:rPr>
      </w:pPr>
    </w:p>
    <w:p w:rsidR="00A660D6" w:rsidRDefault="00A660D6" w:rsidP="007329B4">
      <w:r>
        <w:t>Matiging in genot is nodig, want het voorkomt dat men overtredingen begaat. Matiging is echter niet gemakkelijk, zeker niet als de genotsmiddelen rijkelijk voor handen zijn. Daarom moet de wet de mensen helpen zich te matigen:</w:t>
      </w:r>
    </w:p>
    <w:p w:rsidR="00A660D6" w:rsidRDefault="00A660D6" w:rsidP="007329B4"/>
    <w:p w:rsidR="00A660D6" w:rsidRPr="00A660D6" w:rsidRDefault="00A660D6" w:rsidP="00A660D6">
      <w:pPr>
        <w:ind w:left="709"/>
        <w:rPr>
          <w:i/>
        </w:rPr>
      </w:pPr>
      <w:r>
        <w:rPr>
          <w:i/>
        </w:rPr>
        <w:t>Hij stelde ook wetten in: als iemand in dronkenschap een overtreding beging, zou zijn straf verdubbeld worden; daardoor wilde hij bereiken dat de mensen niet zouden drinken, omdat er zoveel wijn op het eiland was.</w:t>
      </w:r>
      <w:r>
        <w:rPr>
          <w:rStyle w:val="Voetnootmarkering"/>
          <w:i/>
        </w:rPr>
        <w:footnoteReference w:id="4"/>
      </w:r>
    </w:p>
    <w:p w:rsidR="00A660D6" w:rsidRDefault="00A660D6" w:rsidP="007329B4"/>
    <w:p w:rsidR="00E5161F" w:rsidRDefault="00E5161F" w:rsidP="00E5161F">
      <w:r>
        <w:t>De zin van het leven ligt zeker niet in veel hebben. Het verhaal over het stuk land dat hij slechts behoudt voor het noodzakelijke, wordt onmiddellijk aangevuld met een soortgelijk verhaal over geld:</w:t>
      </w:r>
    </w:p>
    <w:p w:rsidR="00E5161F" w:rsidRDefault="00E5161F" w:rsidP="00E5161F"/>
    <w:p w:rsidR="00E5161F" w:rsidRDefault="00E5161F" w:rsidP="00E5161F">
      <w:pPr>
        <w:ind w:left="709"/>
      </w:pPr>
      <w:r>
        <w:rPr>
          <w:i/>
        </w:rPr>
        <w:t>Toen Croesus hem eens geld aanbood, wees hij dat af omdat hij al dubbel zoveel had als hij wilde hebben. Omdat zijn broer kinderloos was gestorven, had hij namelijk diens bezittingen geërfd</w:t>
      </w:r>
      <w:r>
        <w:t>.</w:t>
      </w:r>
      <w:r>
        <w:rPr>
          <w:rStyle w:val="Voetnootmarkering"/>
        </w:rPr>
        <w:footnoteReference w:id="5"/>
      </w:r>
    </w:p>
    <w:p w:rsidR="00E5161F" w:rsidRDefault="00E5161F" w:rsidP="00E5161F">
      <w:pPr>
        <w:ind w:left="709"/>
      </w:pPr>
    </w:p>
    <w:p w:rsidR="007961A0" w:rsidRDefault="007961A0" w:rsidP="00E5161F">
      <w:r>
        <w:t>Diogenes Laërtius citeert in dit verband een brief van Pittacus aan Croesus:</w:t>
      </w:r>
    </w:p>
    <w:p w:rsidR="007961A0" w:rsidRDefault="007961A0" w:rsidP="00E5161F"/>
    <w:p w:rsidR="007961A0" w:rsidRDefault="007961A0" w:rsidP="007961A0">
      <w:pPr>
        <w:ind w:left="709"/>
      </w:pPr>
      <w:r w:rsidRPr="007961A0">
        <w:rPr>
          <w:i/>
        </w:rPr>
        <w:t xml:space="preserve">“U verzoekt mij naar </w:t>
      </w:r>
      <w:proofErr w:type="spellStart"/>
      <w:r w:rsidRPr="007961A0">
        <w:rPr>
          <w:i/>
        </w:rPr>
        <w:t>Lydië</w:t>
      </w:r>
      <w:proofErr w:type="spellEnd"/>
      <w:r w:rsidRPr="007961A0">
        <w:rPr>
          <w:i/>
        </w:rPr>
        <w:t xml:space="preserve"> te komen om uw rijkdom te zien. […] Ik schiet er niets mee op naar Sardis [de hoofdstad van </w:t>
      </w:r>
      <w:proofErr w:type="spellStart"/>
      <w:r w:rsidRPr="007961A0">
        <w:rPr>
          <w:i/>
        </w:rPr>
        <w:t>Lydië</w:t>
      </w:r>
      <w:proofErr w:type="spellEnd"/>
      <w:r w:rsidRPr="007961A0">
        <w:rPr>
          <w:i/>
        </w:rPr>
        <w:t xml:space="preserve">] te reizen, want ik heb geen goud nodig en mijn </w:t>
      </w:r>
      <w:proofErr w:type="spellStart"/>
      <w:r w:rsidRPr="007961A0">
        <w:rPr>
          <w:i/>
        </w:rPr>
        <w:t>bezitingen</w:t>
      </w:r>
      <w:proofErr w:type="spellEnd"/>
      <w:r w:rsidRPr="007961A0">
        <w:rPr>
          <w:i/>
        </w:rPr>
        <w:t xml:space="preserve"> zijn voldoende, ook voor mijn vrienden. Toch kom ik om me met u, mijn gastheer, als vriend te onderhouden.”</w:t>
      </w:r>
      <w:r>
        <w:rPr>
          <w:rStyle w:val="Voetnootmarkering"/>
        </w:rPr>
        <w:footnoteReference w:id="6"/>
      </w:r>
    </w:p>
    <w:p w:rsidR="007961A0" w:rsidRDefault="007961A0" w:rsidP="00E5161F"/>
    <w:p w:rsidR="00D109D2" w:rsidRDefault="00D109D2" w:rsidP="00E5161F">
      <w:r>
        <w:lastRenderedPageBreak/>
        <w:t xml:space="preserve">Pittacus is geen asceet en wijst niet geld af (dat zou nederigheid zijn), maar wil ook niet teveel geld (dat zou hoogmoed zijn): je moet </w:t>
      </w:r>
      <w:r>
        <w:t xml:space="preserve">slechts voldoende geld hebben, </w:t>
      </w:r>
      <w:r>
        <w:t>zoveel geld hebben als nodig is</w:t>
      </w:r>
      <w:r>
        <w:t xml:space="preserve">, voor jezelf en voor je vrienden. </w:t>
      </w:r>
    </w:p>
    <w:p w:rsidR="00E5161F" w:rsidRDefault="007329B4" w:rsidP="00E5161F">
      <w:r>
        <w:t xml:space="preserve">Belangrijker dan rijkdom is </w:t>
      </w:r>
      <w:r w:rsidR="00D109D2">
        <w:t xml:space="preserve">in elk geval </w:t>
      </w:r>
      <w:r>
        <w:t>vriendschap.</w:t>
      </w:r>
    </w:p>
    <w:p w:rsidR="00A660D6" w:rsidRDefault="00D109D2" w:rsidP="00A660D6">
      <w:r>
        <w:t>Pittacus vat zijn levenswijsheid als volgt samen</w:t>
      </w:r>
      <w:r w:rsidR="00A660D6">
        <w:t>:</w:t>
      </w:r>
    </w:p>
    <w:p w:rsidR="00A660D6" w:rsidRDefault="00A660D6" w:rsidP="00A660D6"/>
    <w:p w:rsidR="00A660D6" w:rsidRDefault="00A660D6" w:rsidP="00A660D6">
      <w:pPr>
        <w:ind w:left="709"/>
        <w:rPr>
          <w:i/>
        </w:rPr>
      </w:pPr>
      <w:r w:rsidRPr="001F2ABE">
        <w:rPr>
          <w:i/>
        </w:rPr>
        <w:t>Houd van bezonnenheid. Koester waarheid, goede trouw, ervaring, schranderheid, vriendschap en zorgzaamheid.</w:t>
      </w:r>
      <w:r>
        <w:rPr>
          <w:rStyle w:val="Voetnootmarkering"/>
          <w:i/>
        </w:rPr>
        <w:footnoteReference w:id="7"/>
      </w:r>
    </w:p>
    <w:p w:rsidR="00E5161F" w:rsidRDefault="00E5161F" w:rsidP="00E5161F">
      <w:pPr>
        <w:ind w:left="709"/>
        <w:rPr>
          <w:i/>
        </w:rPr>
      </w:pPr>
    </w:p>
    <w:p w:rsidR="00E5161F" w:rsidRDefault="00E5161F" w:rsidP="00E5161F">
      <w:pPr>
        <w:pStyle w:val="Kop5"/>
      </w:pPr>
      <w:r>
        <w:t>Samenlevingsethiek</w:t>
      </w:r>
    </w:p>
    <w:p w:rsidR="00E5161F" w:rsidRPr="00CF35C8" w:rsidRDefault="00E5161F" w:rsidP="00E5161F"/>
    <w:p w:rsidR="00E5161F" w:rsidRDefault="00E5161F" w:rsidP="00E5161F">
      <w:r>
        <w:t>Wat de houding tegenover anderen betreft, formuleert Pittacus, als één der eersten, de gulden regel:</w:t>
      </w:r>
    </w:p>
    <w:p w:rsidR="00E5161F" w:rsidRDefault="00E5161F" w:rsidP="00E5161F"/>
    <w:p w:rsidR="00E5161F" w:rsidRPr="00067420" w:rsidRDefault="00E5161F" w:rsidP="00E5161F">
      <w:pPr>
        <w:ind w:left="709"/>
        <w:rPr>
          <w:i/>
        </w:rPr>
      </w:pPr>
      <w:r>
        <w:rPr>
          <w:i/>
        </w:rPr>
        <w:t>Doe je buurman niet aan wat je van hem niet zou verdragen.</w:t>
      </w:r>
      <w:r>
        <w:rPr>
          <w:rStyle w:val="Voetnootmarkering"/>
          <w:i/>
        </w:rPr>
        <w:footnoteReference w:id="8"/>
      </w:r>
    </w:p>
    <w:p w:rsidR="00E5161F" w:rsidRDefault="00E5161F" w:rsidP="00E5161F"/>
    <w:p w:rsidR="00E5161F" w:rsidRDefault="00E5161F" w:rsidP="00E5161F">
      <w:r>
        <w:t>Wat meer is: Pittacus ziet onmiddellijk in dat wie deze regel consequent toepast, gelijkheid moet nastreven.</w:t>
      </w:r>
    </w:p>
    <w:p w:rsidR="00E5161F" w:rsidRDefault="00E5161F" w:rsidP="00E5161F">
      <w:r>
        <w:t>In een alternatieve versie van het reeds gegeven verhaal over het aanbieden van grond, gaat het om het gebied dat de Mytileners dank zij Pittacus op de Atheners hadden veroverd. De inwoners bieden Pittacus de helft van de grond aan, maar hij staat erop dat alles gelijk onder de burgers wordt verdeeld, op basis van de regel:</w:t>
      </w:r>
    </w:p>
    <w:p w:rsidR="00E5161F" w:rsidRDefault="00E5161F" w:rsidP="00E5161F"/>
    <w:p w:rsidR="00E5161F" w:rsidRDefault="00E5161F" w:rsidP="00E5161F">
      <w:pPr>
        <w:ind w:firstLine="708"/>
        <w:rPr>
          <w:i/>
        </w:rPr>
      </w:pPr>
      <w:r>
        <w:rPr>
          <w:i/>
        </w:rPr>
        <w:t>Het gelijke deel is meer dan het grotere deel.</w:t>
      </w:r>
    </w:p>
    <w:p w:rsidR="007329B4" w:rsidRDefault="007329B4" w:rsidP="00E5161F">
      <w:pPr>
        <w:ind w:firstLine="708"/>
      </w:pPr>
    </w:p>
    <w:p w:rsidR="00C977C1" w:rsidRDefault="00C977C1" w:rsidP="00E5161F">
      <w:r>
        <w:t>Het grotere deel zal materieel gezien meer zijn (het levert meer materiële rijkdom), maar het gelijke deel is ideëel meer: gelijkheid is van groter belang dan de eigen rijkdom.</w:t>
      </w:r>
    </w:p>
    <w:p w:rsidR="00C977C1" w:rsidRDefault="00C977C1" w:rsidP="00E5161F"/>
    <w:p w:rsidR="00E5161F" w:rsidRDefault="00E5161F" w:rsidP="00E5161F">
      <w:r>
        <w:t>Het is allemaal niet uitgewerkt</w:t>
      </w:r>
      <w:bookmarkStart w:id="1" w:name="_GoBack"/>
      <w:bookmarkEnd w:id="1"/>
      <w:r>
        <w:t xml:space="preserve">, maar de hier aangehaalde uitspraken </w:t>
      </w:r>
      <w:r w:rsidR="00C977C1">
        <w:t>– de vroegste van de Griekse filosofie – suggereren dit diep inzicht:  bescheidenheid, niet meer aannemen dan je nodig hebt, hangt samen met een samenlevingsethiek van wederkerigheid en dat betekent in essentie gelijkheid.</w:t>
      </w:r>
    </w:p>
    <w:p w:rsidR="00C977C1" w:rsidRPr="00434138" w:rsidRDefault="00C977C1" w:rsidP="00434138">
      <w:pPr>
        <w:spacing w:line="240" w:lineRule="auto"/>
        <w:rPr>
          <w:szCs w:val="24"/>
        </w:rPr>
      </w:pPr>
    </w:p>
    <w:p w:rsidR="00C977C1" w:rsidRPr="00434138" w:rsidRDefault="00C977C1" w:rsidP="00434138">
      <w:pPr>
        <w:spacing w:line="240" w:lineRule="auto"/>
        <w:rPr>
          <w:szCs w:val="24"/>
        </w:rPr>
      </w:pPr>
      <w:r w:rsidRPr="00434138">
        <w:rPr>
          <w:szCs w:val="24"/>
        </w:rPr>
        <w:tab/>
      </w:r>
      <w:r w:rsidRPr="00434138">
        <w:rPr>
          <w:szCs w:val="24"/>
        </w:rPr>
        <w:tab/>
        <w:t xml:space="preserve">Lees </w:t>
      </w:r>
      <w:r w:rsidR="00434138">
        <w:rPr>
          <w:szCs w:val="24"/>
        </w:rPr>
        <w:t>hier</w:t>
      </w:r>
      <w:r w:rsidRPr="00434138">
        <w:rPr>
          <w:szCs w:val="24"/>
        </w:rPr>
        <w:t>over</w:t>
      </w:r>
      <w:r w:rsidR="00434138">
        <w:rPr>
          <w:szCs w:val="24"/>
        </w:rPr>
        <w:t xml:space="preserve"> de tekst   </w:t>
      </w:r>
      <w:bookmarkStart w:id="2" w:name="_Toc380939905"/>
      <w:r w:rsidR="00B375AC">
        <w:rPr>
          <w:i/>
          <w:szCs w:val="24"/>
        </w:rPr>
        <w:fldChar w:fldCharType="begin"/>
      </w:r>
      <w:r w:rsidR="00B375AC">
        <w:rPr>
          <w:i/>
          <w:szCs w:val="24"/>
        </w:rPr>
        <w:instrText xml:space="preserve"> HYPERLINK "http://www.detuinvanhetgeluk.be/publicaties/bescheidenheidisgelijkheid.docx" </w:instrText>
      </w:r>
      <w:r w:rsidR="00B375AC">
        <w:rPr>
          <w:i/>
          <w:szCs w:val="24"/>
        </w:rPr>
        <w:fldChar w:fldCharType="separate"/>
      </w:r>
      <w:r w:rsidR="00434138" w:rsidRPr="00B375AC">
        <w:rPr>
          <w:rStyle w:val="Hyperlink"/>
          <w:i/>
          <w:szCs w:val="24"/>
        </w:rPr>
        <w:t>Bescheidenheid in samenlevingsethiek is gelijkheid</w:t>
      </w:r>
      <w:bookmarkEnd w:id="2"/>
      <w:r w:rsidR="00B375AC">
        <w:rPr>
          <w:i/>
          <w:szCs w:val="24"/>
        </w:rPr>
        <w:fldChar w:fldCharType="end"/>
      </w:r>
      <w:r w:rsidR="00434138">
        <w:rPr>
          <w:i/>
          <w:szCs w:val="24"/>
        </w:rPr>
        <w:t>.</w:t>
      </w:r>
    </w:p>
    <w:p w:rsidR="00E5161F" w:rsidRPr="00434138" w:rsidRDefault="00E5161F" w:rsidP="00434138">
      <w:pPr>
        <w:spacing w:line="240" w:lineRule="auto"/>
        <w:rPr>
          <w:szCs w:val="24"/>
        </w:rPr>
      </w:pPr>
    </w:p>
    <w:p w:rsidR="002A19FB" w:rsidRDefault="002A19FB"/>
    <w:sectPr w:rsidR="002A19FB" w:rsidSect="00E5161F">
      <w:headerReference w:type="default" r:id="rId11"/>
      <w:footerReference w:type="default" r:id="rId12"/>
      <w:endnotePr>
        <w:numFmt w:val="decimal"/>
      </w:endnotePr>
      <w:pgSz w:w="11906" w:h="16838"/>
      <w:pgMar w:top="1276" w:right="1417" w:bottom="1417" w:left="1417" w:header="568"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2CB" w:rsidRDefault="000F22CB" w:rsidP="00E5161F">
      <w:pPr>
        <w:spacing w:line="240" w:lineRule="auto"/>
      </w:pPr>
      <w:r>
        <w:separator/>
      </w:r>
    </w:p>
  </w:endnote>
  <w:endnote w:type="continuationSeparator" w:id="0">
    <w:p w:rsidR="000F22CB" w:rsidRDefault="000F22CB" w:rsidP="00E51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61F" w:rsidRDefault="00C977C1">
    <w:pPr>
      <w:pStyle w:val="Voettekst"/>
      <w:jc w:val="right"/>
    </w:pPr>
    <w:r>
      <w:t xml:space="preserve">Pittacus  </w:t>
    </w:r>
    <w:sdt>
      <w:sdtPr>
        <w:id w:val="1099988687"/>
        <w:docPartObj>
          <w:docPartGallery w:val="Page Numbers (Bottom of Page)"/>
          <w:docPartUnique/>
        </w:docPartObj>
      </w:sdtPr>
      <w:sdtEndPr/>
      <w:sdtContent>
        <w:r w:rsidR="00E5161F">
          <w:fldChar w:fldCharType="begin"/>
        </w:r>
        <w:r w:rsidR="00E5161F">
          <w:instrText>PAGE   \* MERGEFORMAT</w:instrText>
        </w:r>
        <w:r w:rsidR="00E5161F">
          <w:fldChar w:fldCharType="separate"/>
        </w:r>
        <w:r w:rsidR="00D109D2">
          <w:rPr>
            <w:noProof/>
          </w:rPr>
          <w:t>1</w:t>
        </w:r>
        <w:r w:rsidR="00E5161F">
          <w:fldChar w:fldCharType="end"/>
        </w:r>
      </w:sdtContent>
    </w:sdt>
  </w:p>
  <w:p w:rsidR="00E5161F" w:rsidRDefault="00E5161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2CB" w:rsidRDefault="000F22CB" w:rsidP="00E5161F">
      <w:pPr>
        <w:spacing w:line="240" w:lineRule="auto"/>
      </w:pPr>
      <w:r>
        <w:separator/>
      </w:r>
    </w:p>
  </w:footnote>
  <w:footnote w:type="continuationSeparator" w:id="0">
    <w:p w:rsidR="000F22CB" w:rsidRDefault="000F22CB" w:rsidP="00E5161F">
      <w:pPr>
        <w:spacing w:line="240" w:lineRule="auto"/>
      </w:pPr>
      <w:r>
        <w:continuationSeparator/>
      </w:r>
    </w:p>
  </w:footnote>
  <w:footnote w:id="1">
    <w:p w:rsidR="00E5161F" w:rsidRPr="00B80ACE" w:rsidRDefault="00E5161F" w:rsidP="00E5161F">
      <w:pPr>
        <w:pStyle w:val="Voetnoottekst"/>
      </w:pPr>
      <w:r>
        <w:rPr>
          <w:rStyle w:val="Voetnootmarkering"/>
        </w:rPr>
        <w:footnoteRef/>
      </w:r>
      <w:r>
        <w:t xml:space="preserve"> Diogenes Laërtius, </w:t>
      </w:r>
      <w:r w:rsidRPr="00B80ACE">
        <w:rPr>
          <w:i/>
        </w:rPr>
        <w:t>Leven en leer van bero</w:t>
      </w:r>
      <w:r>
        <w:rPr>
          <w:i/>
        </w:rPr>
        <w:t>e</w:t>
      </w:r>
      <w:r w:rsidRPr="00B80ACE">
        <w:rPr>
          <w:i/>
        </w:rPr>
        <w:t>mde filosofen</w:t>
      </w:r>
      <w:r>
        <w:rPr>
          <w:i/>
        </w:rPr>
        <w:t xml:space="preserve">, </w:t>
      </w:r>
      <w:r>
        <w:t>boek 1, 75</w:t>
      </w:r>
    </w:p>
  </w:footnote>
  <w:footnote w:id="2">
    <w:p w:rsidR="00E5161F" w:rsidRDefault="00E5161F" w:rsidP="00E5161F">
      <w:pPr>
        <w:pStyle w:val="Voetnoottekst"/>
      </w:pPr>
      <w:r>
        <w:rPr>
          <w:rStyle w:val="Voetnootmarkering"/>
        </w:rPr>
        <w:footnoteRef/>
      </w:r>
      <w:r>
        <w:t xml:space="preserve"> Ibidem</w:t>
      </w:r>
    </w:p>
  </w:footnote>
  <w:footnote w:id="3">
    <w:p w:rsidR="00A660D6" w:rsidRDefault="00A660D6">
      <w:pPr>
        <w:pStyle w:val="Voetnoottekst"/>
      </w:pPr>
      <w:r>
        <w:rPr>
          <w:rStyle w:val="Voetnootmarkering"/>
        </w:rPr>
        <w:footnoteRef/>
      </w:r>
      <w:r>
        <w:t xml:space="preserve"> </w:t>
      </w:r>
      <w:r>
        <w:t xml:space="preserve">Diogenes Laërtius, </w:t>
      </w:r>
      <w:r w:rsidRPr="00B80ACE">
        <w:rPr>
          <w:i/>
        </w:rPr>
        <w:t>Leven en leer van bero</w:t>
      </w:r>
      <w:r>
        <w:rPr>
          <w:i/>
        </w:rPr>
        <w:t>e</w:t>
      </w:r>
      <w:r w:rsidRPr="00B80ACE">
        <w:rPr>
          <w:i/>
        </w:rPr>
        <w:t>mde filosofen</w:t>
      </w:r>
      <w:r>
        <w:rPr>
          <w:i/>
        </w:rPr>
        <w:t xml:space="preserve">, </w:t>
      </w:r>
      <w:r>
        <w:t>boek 1, 78</w:t>
      </w:r>
    </w:p>
  </w:footnote>
  <w:footnote w:id="4">
    <w:p w:rsidR="00A660D6" w:rsidRDefault="00A660D6">
      <w:pPr>
        <w:pStyle w:val="Voetnoottekst"/>
      </w:pPr>
      <w:r>
        <w:rPr>
          <w:rStyle w:val="Voetnootmarkering"/>
        </w:rPr>
        <w:footnoteRef/>
      </w:r>
      <w:r>
        <w:t xml:space="preserve"> </w:t>
      </w:r>
      <w:r>
        <w:t xml:space="preserve">Diogenes Laërtius, </w:t>
      </w:r>
      <w:r w:rsidRPr="00B80ACE">
        <w:rPr>
          <w:i/>
        </w:rPr>
        <w:t>Leven en leer van bero</w:t>
      </w:r>
      <w:r>
        <w:rPr>
          <w:i/>
        </w:rPr>
        <w:t>e</w:t>
      </w:r>
      <w:r w:rsidRPr="00B80ACE">
        <w:rPr>
          <w:i/>
        </w:rPr>
        <w:t>mde filosofen</w:t>
      </w:r>
      <w:r>
        <w:rPr>
          <w:i/>
        </w:rPr>
        <w:t xml:space="preserve">, </w:t>
      </w:r>
      <w:r>
        <w:t>boek 1, 76</w:t>
      </w:r>
    </w:p>
  </w:footnote>
  <w:footnote w:id="5">
    <w:p w:rsidR="00E5161F" w:rsidRDefault="00E5161F" w:rsidP="00E5161F">
      <w:pPr>
        <w:pStyle w:val="Voetnoottekst"/>
      </w:pPr>
      <w:r>
        <w:rPr>
          <w:rStyle w:val="Voetnootmarkering"/>
        </w:rPr>
        <w:footnoteRef/>
      </w:r>
      <w:r w:rsidR="00D109D2">
        <w:t xml:space="preserve"> </w:t>
      </w:r>
      <w:r w:rsidR="00D109D2">
        <w:t xml:space="preserve">Diogenes Laërtius, </w:t>
      </w:r>
      <w:r w:rsidR="00D109D2" w:rsidRPr="00B80ACE">
        <w:rPr>
          <w:i/>
        </w:rPr>
        <w:t>Leven en leer van bero</w:t>
      </w:r>
      <w:r w:rsidR="00D109D2">
        <w:rPr>
          <w:i/>
        </w:rPr>
        <w:t>e</w:t>
      </w:r>
      <w:r w:rsidR="00D109D2" w:rsidRPr="00B80ACE">
        <w:rPr>
          <w:i/>
        </w:rPr>
        <w:t>mde filosofen</w:t>
      </w:r>
      <w:r w:rsidR="00D109D2">
        <w:rPr>
          <w:i/>
        </w:rPr>
        <w:t xml:space="preserve">, </w:t>
      </w:r>
      <w:r w:rsidR="00D109D2">
        <w:t>boek 1, 75</w:t>
      </w:r>
    </w:p>
  </w:footnote>
  <w:footnote w:id="6">
    <w:p w:rsidR="007961A0" w:rsidRDefault="007961A0">
      <w:pPr>
        <w:pStyle w:val="Voetnoottekst"/>
      </w:pPr>
      <w:r>
        <w:rPr>
          <w:rStyle w:val="Voetnootmarkering"/>
        </w:rPr>
        <w:footnoteRef/>
      </w:r>
      <w:r>
        <w:t xml:space="preserve"> </w:t>
      </w:r>
      <w:r>
        <w:t xml:space="preserve">Diogenes Laërtius, </w:t>
      </w:r>
      <w:r w:rsidRPr="00B80ACE">
        <w:rPr>
          <w:i/>
        </w:rPr>
        <w:t>Leven en leer van bero</w:t>
      </w:r>
      <w:r>
        <w:rPr>
          <w:i/>
        </w:rPr>
        <w:t>e</w:t>
      </w:r>
      <w:r w:rsidRPr="00B80ACE">
        <w:rPr>
          <w:i/>
        </w:rPr>
        <w:t>mde filosofen</w:t>
      </w:r>
      <w:r>
        <w:rPr>
          <w:i/>
        </w:rPr>
        <w:t xml:space="preserve">, </w:t>
      </w:r>
      <w:r>
        <w:t xml:space="preserve">boek 1, </w:t>
      </w:r>
      <w:r>
        <w:t>81</w:t>
      </w:r>
    </w:p>
  </w:footnote>
  <w:footnote w:id="7">
    <w:p w:rsidR="00A660D6" w:rsidRDefault="00A660D6" w:rsidP="00A660D6">
      <w:pPr>
        <w:pStyle w:val="Voetnoottekst"/>
      </w:pPr>
      <w:r>
        <w:rPr>
          <w:rStyle w:val="Voetnootmarkering"/>
        </w:rPr>
        <w:footnoteRef/>
      </w:r>
      <w:r>
        <w:t xml:space="preserve"> Diogenes Laërtius, </w:t>
      </w:r>
      <w:r w:rsidRPr="00B80ACE">
        <w:rPr>
          <w:i/>
        </w:rPr>
        <w:t>Leven en leer van bero</w:t>
      </w:r>
      <w:r>
        <w:rPr>
          <w:i/>
        </w:rPr>
        <w:t>e</w:t>
      </w:r>
      <w:r w:rsidRPr="00B80ACE">
        <w:rPr>
          <w:i/>
        </w:rPr>
        <w:t>mde filosofen</w:t>
      </w:r>
      <w:r>
        <w:rPr>
          <w:i/>
        </w:rPr>
        <w:t xml:space="preserve">, </w:t>
      </w:r>
      <w:r>
        <w:t>boek 1, 78</w:t>
      </w:r>
    </w:p>
  </w:footnote>
  <w:footnote w:id="8">
    <w:p w:rsidR="00E5161F" w:rsidRDefault="00E5161F" w:rsidP="00E5161F">
      <w:pPr>
        <w:pStyle w:val="Voetnoottekst"/>
      </w:pPr>
      <w:r>
        <w:rPr>
          <w:rStyle w:val="Voetnootmarkering"/>
        </w:rPr>
        <w:footnoteRef/>
      </w:r>
      <w:r>
        <w:t xml:space="preserve"> Fragment 10.3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61F" w:rsidRPr="00E5161F" w:rsidRDefault="00E5161F" w:rsidP="00E5161F">
    <w:pPr>
      <w:pStyle w:val="Koptekst"/>
      <w:jc w:val="right"/>
      <w:rPr>
        <w:b/>
      </w:rPr>
    </w:pPr>
    <w:r>
      <w:t xml:space="preserve">Filosofen en hun tuin - </w:t>
    </w:r>
    <w:r w:rsidRPr="00E5161F">
      <w:rPr>
        <w:rStyle w:val="Zwaar"/>
        <w:b w:val="0"/>
      </w:rPr>
      <w:t>Filosofische tuinen in de Griekse en Romeinse oudheid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72F1"/>
    <w:multiLevelType w:val="hybridMultilevel"/>
    <w:tmpl w:val="D49E3D9E"/>
    <w:lvl w:ilvl="0" w:tplc="10E0B0A4">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61F"/>
    <w:rsid w:val="000F22CB"/>
    <w:rsid w:val="002A19FB"/>
    <w:rsid w:val="002F21C0"/>
    <w:rsid w:val="00385870"/>
    <w:rsid w:val="00434138"/>
    <w:rsid w:val="00551F90"/>
    <w:rsid w:val="005954D1"/>
    <w:rsid w:val="00670EE2"/>
    <w:rsid w:val="007329B4"/>
    <w:rsid w:val="007961A0"/>
    <w:rsid w:val="008129DC"/>
    <w:rsid w:val="00A660D6"/>
    <w:rsid w:val="00B375AC"/>
    <w:rsid w:val="00C62971"/>
    <w:rsid w:val="00C977C1"/>
    <w:rsid w:val="00D109D2"/>
    <w:rsid w:val="00DD1AC2"/>
    <w:rsid w:val="00E30275"/>
    <w:rsid w:val="00E516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61F"/>
    <w:pPr>
      <w:spacing w:after="0" w:line="280" w:lineRule="exact"/>
      <w:jc w:val="both"/>
    </w:pPr>
    <w:rPr>
      <w:sz w:val="24"/>
    </w:rPr>
  </w:style>
  <w:style w:type="paragraph" w:styleId="Kop1">
    <w:name w:val="heading 1"/>
    <w:basedOn w:val="Standaard"/>
    <w:next w:val="Standaard"/>
    <w:link w:val="Kop1Char"/>
    <w:uiPriority w:val="9"/>
    <w:qFormat/>
    <w:rsid w:val="00551F90"/>
    <w:pPr>
      <w:keepNext/>
      <w:keepLines/>
      <w:spacing w:before="600" w:line="620" w:lineRule="exact"/>
      <w:jc w:val="left"/>
      <w:outlineLvl w:val="0"/>
    </w:pPr>
    <w:rPr>
      <w:rFonts w:eastAsiaTheme="majorEastAsia" w:cstheme="majorBidi"/>
      <w:b/>
      <w:bCs/>
      <w:sz w:val="72"/>
      <w:szCs w:val="28"/>
    </w:rPr>
  </w:style>
  <w:style w:type="paragraph" w:styleId="Kop2">
    <w:name w:val="heading 2"/>
    <w:basedOn w:val="Standaard"/>
    <w:next w:val="Standaard"/>
    <w:link w:val="Kop2Char"/>
    <w:uiPriority w:val="9"/>
    <w:unhideWhenUsed/>
    <w:qFormat/>
    <w:rsid w:val="00DD1AC2"/>
    <w:pPr>
      <w:keepNext/>
      <w:keepLines/>
      <w:spacing w:before="200" w:line="240" w:lineRule="auto"/>
      <w:outlineLvl w:val="1"/>
    </w:pPr>
    <w:rPr>
      <w:rFonts w:eastAsiaTheme="majorEastAsia" w:cstheme="majorBidi"/>
      <w:b/>
      <w:bCs/>
      <w:sz w:val="28"/>
      <w:szCs w:val="26"/>
    </w:rPr>
  </w:style>
  <w:style w:type="paragraph" w:styleId="Kop3">
    <w:name w:val="heading 3"/>
    <w:basedOn w:val="Standaard"/>
    <w:next w:val="Standaard"/>
    <w:link w:val="Kop3Char"/>
    <w:uiPriority w:val="9"/>
    <w:unhideWhenUsed/>
    <w:qFormat/>
    <w:rsid w:val="00551F90"/>
    <w:pPr>
      <w:keepNext/>
      <w:keepLines/>
      <w:spacing w:before="200" w:line="480" w:lineRule="exact"/>
      <w:jc w:val="left"/>
      <w:outlineLvl w:val="2"/>
    </w:pPr>
    <w:rPr>
      <w:rFonts w:eastAsiaTheme="majorEastAsia" w:cstheme="majorBidi"/>
      <w:b/>
      <w:bCs/>
      <w:sz w:val="48"/>
    </w:rPr>
  </w:style>
  <w:style w:type="paragraph" w:styleId="Kop4">
    <w:name w:val="heading 4"/>
    <w:basedOn w:val="Standaard"/>
    <w:next w:val="Standaard"/>
    <w:link w:val="Kop4Char"/>
    <w:uiPriority w:val="9"/>
    <w:unhideWhenUsed/>
    <w:qFormat/>
    <w:rsid w:val="008129DC"/>
    <w:pPr>
      <w:keepNext/>
      <w:keepLines/>
      <w:spacing w:before="360"/>
      <w:jc w:val="left"/>
      <w:outlineLvl w:val="3"/>
    </w:pPr>
    <w:rPr>
      <w:rFonts w:eastAsiaTheme="majorEastAsia" w:cstheme="majorBidi"/>
      <w:b/>
      <w:bCs/>
      <w:iCs/>
      <w:sz w:val="36"/>
    </w:rPr>
  </w:style>
  <w:style w:type="paragraph" w:styleId="Kop5">
    <w:name w:val="heading 5"/>
    <w:basedOn w:val="Standaard"/>
    <w:next w:val="Standaard"/>
    <w:link w:val="Kop5Char"/>
    <w:uiPriority w:val="9"/>
    <w:unhideWhenUsed/>
    <w:qFormat/>
    <w:rsid w:val="00E5161F"/>
    <w:pPr>
      <w:keepNext/>
      <w:keepLines/>
      <w:spacing w:before="200"/>
      <w:outlineLvl w:val="4"/>
    </w:pPr>
    <w:rPr>
      <w:rFonts w:eastAsiaTheme="majorEastAsia" w:cstheme="majorBidi"/>
      <w:b/>
      <w:sz w:val="28"/>
    </w:rPr>
  </w:style>
  <w:style w:type="paragraph" w:styleId="Kop6">
    <w:name w:val="heading 6"/>
    <w:basedOn w:val="Standaard"/>
    <w:next w:val="Standaard"/>
    <w:link w:val="Kop6Char"/>
    <w:uiPriority w:val="9"/>
    <w:unhideWhenUsed/>
    <w:qFormat/>
    <w:rsid w:val="00385870"/>
    <w:pPr>
      <w:keepNext/>
      <w:keepLines/>
      <w:spacing w:before="200"/>
      <w:outlineLvl w:val="5"/>
    </w:pPr>
    <w:rPr>
      <w:rFonts w:ascii="Calibri" w:eastAsiaTheme="majorEastAsia" w:hAnsi="Calibri" w:cstheme="majorBidi"/>
      <w:b/>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D1AC2"/>
    <w:rPr>
      <w:rFonts w:eastAsiaTheme="majorEastAsia" w:cstheme="majorBidi"/>
      <w:b/>
      <w:bCs/>
      <w:sz w:val="28"/>
      <w:szCs w:val="26"/>
    </w:rPr>
  </w:style>
  <w:style w:type="paragraph" w:styleId="Ondertitel">
    <w:name w:val="Subtitle"/>
    <w:basedOn w:val="Standaard"/>
    <w:next w:val="Standaard"/>
    <w:link w:val="OndertitelChar"/>
    <w:uiPriority w:val="11"/>
    <w:qFormat/>
    <w:rsid w:val="00DD1AC2"/>
    <w:pPr>
      <w:numPr>
        <w:ilvl w:val="1"/>
      </w:numPr>
    </w:pPr>
    <w:rPr>
      <w:rFonts w:eastAsiaTheme="majorEastAsia" w:cstheme="majorBidi"/>
      <w:b/>
      <w:i/>
      <w:iCs/>
      <w:spacing w:val="15"/>
      <w:sz w:val="36"/>
      <w:szCs w:val="24"/>
    </w:rPr>
  </w:style>
  <w:style w:type="character" w:customStyle="1" w:styleId="OndertitelChar">
    <w:name w:val="Ondertitel Char"/>
    <w:basedOn w:val="Standaardalinea-lettertype"/>
    <w:link w:val="Ondertitel"/>
    <w:uiPriority w:val="11"/>
    <w:rsid w:val="00DD1AC2"/>
    <w:rPr>
      <w:rFonts w:eastAsiaTheme="majorEastAsia" w:cstheme="majorBidi"/>
      <w:b/>
      <w:i/>
      <w:iCs/>
      <w:spacing w:val="15"/>
      <w:sz w:val="36"/>
      <w:szCs w:val="24"/>
    </w:rPr>
  </w:style>
  <w:style w:type="character" w:customStyle="1" w:styleId="Kop1Char">
    <w:name w:val="Kop 1 Char"/>
    <w:basedOn w:val="Standaardalinea-lettertype"/>
    <w:link w:val="Kop1"/>
    <w:uiPriority w:val="9"/>
    <w:rsid w:val="00551F90"/>
    <w:rPr>
      <w:rFonts w:eastAsiaTheme="majorEastAsia" w:cstheme="majorBidi"/>
      <w:b/>
      <w:bCs/>
      <w:sz w:val="72"/>
      <w:szCs w:val="28"/>
    </w:rPr>
  </w:style>
  <w:style w:type="character" w:customStyle="1" w:styleId="Kop3Char">
    <w:name w:val="Kop 3 Char"/>
    <w:basedOn w:val="Standaardalinea-lettertype"/>
    <w:link w:val="Kop3"/>
    <w:uiPriority w:val="9"/>
    <w:rsid w:val="00551F90"/>
    <w:rPr>
      <w:rFonts w:eastAsiaTheme="majorEastAsia" w:cstheme="majorBidi"/>
      <w:b/>
      <w:bCs/>
      <w:sz w:val="48"/>
    </w:rPr>
  </w:style>
  <w:style w:type="character" w:customStyle="1" w:styleId="Kop4Char">
    <w:name w:val="Kop 4 Char"/>
    <w:basedOn w:val="Standaardalinea-lettertype"/>
    <w:link w:val="Kop4"/>
    <w:uiPriority w:val="9"/>
    <w:rsid w:val="008129DC"/>
    <w:rPr>
      <w:rFonts w:eastAsiaTheme="majorEastAsia" w:cstheme="majorBidi"/>
      <w:b/>
      <w:bCs/>
      <w:iCs/>
      <w:sz w:val="36"/>
    </w:rPr>
  </w:style>
  <w:style w:type="character" w:customStyle="1" w:styleId="Kop6Char">
    <w:name w:val="Kop 6 Char"/>
    <w:basedOn w:val="Standaardalinea-lettertype"/>
    <w:link w:val="Kop6"/>
    <w:uiPriority w:val="9"/>
    <w:rsid w:val="00385870"/>
    <w:rPr>
      <w:rFonts w:ascii="Calibri" w:eastAsiaTheme="majorEastAsia" w:hAnsi="Calibri" w:cstheme="majorBidi"/>
      <w:b/>
      <w:iCs/>
      <w:sz w:val="24"/>
    </w:rPr>
  </w:style>
  <w:style w:type="character" w:customStyle="1" w:styleId="Kop5Char">
    <w:name w:val="Kop 5 Char"/>
    <w:basedOn w:val="Standaardalinea-lettertype"/>
    <w:link w:val="Kop5"/>
    <w:uiPriority w:val="9"/>
    <w:rsid w:val="00E5161F"/>
    <w:rPr>
      <w:rFonts w:eastAsiaTheme="majorEastAsia" w:cstheme="majorBidi"/>
      <w:b/>
      <w:sz w:val="28"/>
    </w:rPr>
  </w:style>
  <w:style w:type="paragraph" w:styleId="Eindnoottekst">
    <w:name w:val="endnote text"/>
    <w:basedOn w:val="Standaard"/>
    <w:link w:val="EindnoottekstChar"/>
    <w:uiPriority w:val="99"/>
    <w:semiHidden/>
    <w:unhideWhenUsed/>
    <w:rsid w:val="00E5161F"/>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E5161F"/>
    <w:rPr>
      <w:sz w:val="20"/>
      <w:szCs w:val="20"/>
    </w:rPr>
  </w:style>
  <w:style w:type="character" w:styleId="Eindnootmarkering">
    <w:name w:val="endnote reference"/>
    <w:basedOn w:val="Standaardalinea-lettertype"/>
    <w:uiPriority w:val="99"/>
    <w:semiHidden/>
    <w:unhideWhenUsed/>
    <w:rsid w:val="00E5161F"/>
    <w:rPr>
      <w:vertAlign w:val="superscript"/>
    </w:rPr>
  </w:style>
  <w:style w:type="paragraph" w:styleId="Koptekst">
    <w:name w:val="header"/>
    <w:basedOn w:val="Standaard"/>
    <w:link w:val="KoptekstChar"/>
    <w:uiPriority w:val="99"/>
    <w:unhideWhenUsed/>
    <w:rsid w:val="00E5161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5161F"/>
    <w:rPr>
      <w:sz w:val="24"/>
    </w:rPr>
  </w:style>
  <w:style w:type="paragraph" w:styleId="Voettekst">
    <w:name w:val="footer"/>
    <w:basedOn w:val="Standaard"/>
    <w:link w:val="VoettekstChar"/>
    <w:uiPriority w:val="99"/>
    <w:unhideWhenUsed/>
    <w:rsid w:val="00E5161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5161F"/>
    <w:rPr>
      <w:sz w:val="24"/>
    </w:rPr>
  </w:style>
  <w:style w:type="character" w:styleId="Zwaar">
    <w:name w:val="Strong"/>
    <w:basedOn w:val="Standaardalinea-lettertype"/>
    <w:uiPriority w:val="22"/>
    <w:qFormat/>
    <w:rsid w:val="00E5161F"/>
    <w:rPr>
      <w:b/>
      <w:bCs/>
    </w:rPr>
  </w:style>
  <w:style w:type="paragraph" w:styleId="Voetnoottekst">
    <w:name w:val="footnote text"/>
    <w:basedOn w:val="Standaard"/>
    <w:link w:val="VoetnoottekstChar"/>
    <w:uiPriority w:val="99"/>
    <w:semiHidden/>
    <w:unhideWhenUsed/>
    <w:rsid w:val="00E5161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5161F"/>
    <w:rPr>
      <w:sz w:val="20"/>
      <w:szCs w:val="20"/>
    </w:rPr>
  </w:style>
  <w:style w:type="character" w:styleId="Voetnootmarkering">
    <w:name w:val="footnote reference"/>
    <w:basedOn w:val="Standaardalinea-lettertype"/>
    <w:uiPriority w:val="99"/>
    <w:semiHidden/>
    <w:unhideWhenUsed/>
    <w:rsid w:val="00E5161F"/>
    <w:rPr>
      <w:vertAlign w:val="superscript"/>
    </w:rPr>
  </w:style>
  <w:style w:type="character" w:styleId="Hyperlink">
    <w:name w:val="Hyperlink"/>
    <w:basedOn w:val="Standaardalinea-lettertype"/>
    <w:uiPriority w:val="99"/>
    <w:unhideWhenUsed/>
    <w:rsid w:val="00B375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61F"/>
    <w:pPr>
      <w:spacing w:after="0" w:line="280" w:lineRule="exact"/>
      <w:jc w:val="both"/>
    </w:pPr>
    <w:rPr>
      <w:sz w:val="24"/>
    </w:rPr>
  </w:style>
  <w:style w:type="paragraph" w:styleId="Kop1">
    <w:name w:val="heading 1"/>
    <w:basedOn w:val="Standaard"/>
    <w:next w:val="Standaard"/>
    <w:link w:val="Kop1Char"/>
    <w:uiPriority w:val="9"/>
    <w:qFormat/>
    <w:rsid w:val="00551F90"/>
    <w:pPr>
      <w:keepNext/>
      <w:keepLines/>
      <w:spacing w:before="600" w:line="620" w:lineRule="exact"/>
      <w:jc w:val="left"/>
      <w:outlineLvl w:val="0"/>
    </w:pPr>
    <w:rPr>
      <w:rFonts w:eastAsiaTheme="majorEastAsia" w:cstheme="majorBidi"/>
      <w:b/>
      <w:bCs/>
      <w:sz w:val="72"/>
      <w:szCs w:val="28"/>
    </w:rPr>
  </w:style>
  <w:style w:type="paragraph" w:styleId="Kop2">
    <w:name w:val="heading 2"/>
    <w:basedOn w:val="Standaard"/>
    <w:next w:val="Standaard"/>
    <w:link w:val="Kop2Char"/>
    <w:uiPriority w:val="9"/>
    <w:unhideWhenUsed/>
    <w:qFormat/>
    <w:rsid w:val="00DD1AC2"/>
    <w:pPr>
      <w:keepNext/>
      <w:keepLines/>
      <w:spacing w:before="200" w:line="240" w:lineRule="auto"/>
      <w:outlineLvl w:val="1"/>
    </w:pPr>
    <w:rPr>
      <w:rFonts w:eastAsiaTheme="majorEastAsia" w:cstheme="majorBidi"/>
      <w:b/>
      <w:bCs/>
      <w:sz w:val="28"/>
      <w:szCs w:val="26"/>
    </w:rPr>
  </w:style>
  <w:style w:type="paragraph" w:styleId="Kop3">
    <w:name w:val="heading 3"/>
    <w:basedOn w:val="Standaard"/>
    <w:next w:val="Standaard"/>
    <w:link w:val="Kop3Char"/>
    <w:uiPriority w:val="9"/>
    <w:unhideWhenUsed/>
    <w:qFormat/>
    <w:rsid w:val="00551F90"/>
    <w:pPr>
      <w:keepNext/>
      <w:keepLines/>
      <w:spacing w:before="200" w:line="480" w:lineRule="exact"/>
      <w:jc w:val="left"/>
      <w:outlineLvl w:val="2"/>
    </w:pPr>
    <w:rPr>
      <w:rFonts w:eastAsiaTheme="majorEastAsia" w:cstheme="majorBidi"/>
      <w:b/>
      <w:bCs/>
      <w:sz w:val="48"/>
    </w:rPr>
  </w:style>
  <w:style w:type="paragraph" w:styleId="Kop4">
    <w:name w:val="heading 4"/>
    <w:basedOn w:val="Standaard"/>
    <w:next w:val="Standaard"/>
    <w:link w:val="Kop4Char"/>
    <w:uiPriority w:val="9"/>
    <w:unhideWhenUsed/>
    <w:qFormat/>
    <w:rsid w:val="008129DC"/>
    <w:pPr>
      <w:keepNext/>
      <w:keepLines/>
      <w:spacing w:before="360"/>
      <w:jc w:val="left"/>
      <w:outlineLvl w:val="3"/>
    </w:pPr>
    <w:rPr>
      <w:rFonts w:eastAsiaTheme="majorEastAsia" w:cstheme="majorBidi"/>
      <w:b/>
      <w:bCs/>
      <w:iCs/>
      <w:sz w:val="36"/>
    </w:rPr>
  </w:style>
  <w:style w:type="paragraph" w:styleId="Kop5">
    <w:name w:val="heading 5"/>
    <w:basedOn w:val="Standaard"/>
    <w:next w:val="Standaard"/>
    <w:link w:val="Kop5Char"/>
    <w:uiPriority w:val="9"/>
    <w:unhideWhenUsed/>
    <w:qFormat/>
    <w:rsid w:val="00E5161F"/>
    <w:pPr>
      <w:keepNext/>
      <w:keepLines/>
      <w:spacing w:before="200"/>
      <w:outlineLvl w:val="4"/>
    </w:pPr>
    <w:rPr>
      <w:rFonts w:eastAsiaTheme="majorEastAsia" w:cstheme="majorBidi"/>
      <w:b/>
      <w:sz w:val="28"/>
    </w:rPr>
  </w:style>
  <w:style w:type="paragraph" w:styleId="Kop6">
    <w:name w:val="heading 6"/>
    <w:basedOn w:val="Standaard"/>
    <w:next w:val="Standaard"/>
    <w:link w:val="Kop6Char"/>
    <w:uiPriority w:val="9"/>
    <w:unhideWhenUsed/>
    <w:qFormat/>
    <w:rsid w:val="00385870"/>
    <w:pPr>
      <w:keepNext/>
      <w:keepLines/>
      <w:spacing w:before="200"/>
      <w:outlineLvl w:val="5"/>
    </w:pPr>
    <w:rPr>
      <w:rFonts w:ascii="Calibri" w:eastAsiaTheme="majorEastAsia" w:hAnsi="Calibri" w:cstheme="majorBidi"/>
      <w:b/>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D1AC2"/>
    <w:rPr>
      <w:rFonts w:eastAsiaTheme="majorEastAsia" w:cstheme="majorBidi"/>
      <w:b/>
      <w:bCs/>
      <w:sz w:val="28"/>
      <w:szCs w:val="26"/>
    </w:rPr>
  </w:style>
  <w:style w:type="paragraph" w:styleId="Ondertitel">
    <w:name w:val="Subtitle"/>
    <w:basedOn w:val="Standaard"/>
    <w:next w:val="Standaard"/>
    <w:link w:val="OndertitelChar"/>
    <w:uiPriority w:val="11"/>
    <w:qFormat/>
    <w:rsid w:val="00DD1AC2"/>
    <w:pPr>
      <w:numPr>
        <w:ilvl w:val="1"/>
      </w:numPr>
    </w:pPr>
    <w:rPr>
      <w:rFonts w:eastAsiaTheme="majorEastAsia" w:cstheme="majorBidi"/>
      <w:b/>
      <w:i/>
      <w:iCs/>
      <w:spacing w:val="15"/>
      <w:sz w:val="36"/>
      <w:szCs w:val="24"/>
    </w:rPr>
  </w:style>
  <w:style w:type="character" w:customStyle="1" w:styleId="OndertitelChar">
    <w:name w:val="Ondertitel Char"/>
    <w:basedOn w:val="Standaardalinea-lettertype"/>
    <w:link w:val="Ondertitel"/>
    <w:uiPriority w:val="11"/>
    <w:rsid w:val="00DD1AC2"/>
    <w:rPr>
      <w:rFonts w:eastAsiaTheme="majorEastAsia" w:cstheme="majorBidi"/>
      <w:b/>
      <w:i/>
      <w:iCs/>
      <w:spacing w:val="15"/>
      <w:sz w:val="36"/>
      <w:szCs w:val="24"/>
    </w:rPr>
  </w:style>
  <w:style w:type="character" w:customStyle="1" w:styleId="Kop1Char">
    <w:name w:val="Kop 1 Char"/>
    <w:basedOn w:val="Standaardalinea-lettertype"/>
    <w:link w:val="Kop1"/>
    <w:uiPriority w:val="9"/>
    <w:rsid w:val="00551F90"/>
    <w:rPr>
      <w:rFonts w:eastAsiaTheme="majorEastAsia" w:cstheme="majorBidi"/>
      <w:b/>
      <w:bCs/>
      <w:sz w:val="72"/>
      <w:szCs w:val="28"/>
    </w:rPr>
  </w:style>
  <w:style w:type="character" w:customStyle="1" w:styleId="Kop3Char">
    <w:name w:val="Kop 3 Char"/>
    <w:basedOn w:val="Standaardalinea-lettertype"/>
    <w:link w:val="Kop3"/>
    <w:uiPriority w:val="9"/>
    <w:rsid w:val="00551F90"/>
    <w:rPr>
      <w:rFonts w:eastAsiaTheme="majorEastAsia" w:cstheme="majorBidi"/>
      <w:b/>
      <w:bCs/>
      <w:sz w:val="48"/>
    </w:rPr>
  </w:style>
  <w:style w:type="character" w:customStyle="1" w:styleId="Kop4Char">
    <w:name w:val="Kop 4 Char"/>
    <w:basedOn w:val="Standaardalinea-lettertype"/>
    <w:link w:val="Kop4"/>
    <w:uiPriority w:val="9"/>
    <w:rsid w:val="008129DC"/>
    <w:rPr>
      <w:rFonts w:eastAsiaTheme="majorEastAsia" w:cstheme="majorBidi"/>
      <w:b/>
      <w:bCs/>
      <w:iCs/>
      <w:sz w:val="36"/>
    </w:rPr>
  </w:style>
  <w:style w:type="character" w:customStyle="1" w:styleId="Kop6Char">
    <w:name w:val="Kop 6 Char"/>
    <w:basedOn w:val="Standaardalinea-lettertype"/>
    <w:link w:val="Kop6"/>
    <w:uiPriority w:val="9"/>
    <w:rsid w:val="00385870"/>
    <w:rPr>
      <w:rFonts w:ascii="Calibri" w:eastAsiaTheme="majorEastAsia" w:hAnsi="Calibri" w:cstheme="majorBidi"/>
      <w:b/>
      <w:iCs/>
      <w:sz w:val="24"/>
    </w:rPr>
  </w:style>
  <w:style w:type="character" w:customStyle="1" w:styleId="Kop5Char">
    <w:name w:val="Kop 5 Char"/>
    <w:basedOn w:val="Standaardalinea-lettertype"/>
    <w:link w:val="Kop5"/>
    <w:uiPriority w:val="9"/>
    <w:rsid w:val="00E5161F"/>
    <w:rPr>
      <w:rFonts w:eastAsiaTheme="majorEastAsia" w:cstheme="majorBidi"/>
      <w:b/>
      <w:sz w:val="28"/>
    </w:rPr>
  </w:style>
  <w:style w:type="paragraph" w:styleId="Eindnoottekst">
    <w:name w:val="endnote text"/>
    <w:basedOn w:val="Standaard"/>
    <w:link w:val="EindnoottekstChar"/>
    <w:uiPriority w:val="99"/>
    <w:semiHidden/>
    <w:unhideWhenUsed/>
    <w:rsid w:val="00E5161F"/>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E5161F"/>
    <w:rPr>
      <w:sz w:val="20"/>
      <w:szCs w:val="20"/>
    </w:rPr>
  </w:style>
  <w:style w:type="character" w:styleId="Eindnootmarkering">
    <w:name w:val="endnote reference"/>
    <w:basedOn w:val="Standaardalinea-lettertype"/>
    <w:uiPriority w:val="99"/>
    <w:semiHidden/>
    <w:unhideWhenUsed/>
    <w:rsid w:val="00E5161F"/>
    <w:rPr>
      <w:vertAlign w:val="superscript"/>
    </w:rPr>
  </w:style>
  <w:style w:type="paragraph" w:styleId="Koptekst">
    <w:name w:val="header"/>
    <w:basedOn w:val="Standaard"/>
    <w:link w:val="KoptekstChar"/>
    <w:uiPriority w:val="99"/>
    <w:unhideWhenUsed/>
    <w:rsid w:val="00E5161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5161F"/>
    <w:rPr>
      <w:sz w:val="24"/>
    </w:rPr>
  </w:style>
  <w:style w:type="paragraph" w:styleId="Voettekst">
    <w:name w:val="footer"/>
    <w:basedOn w:val="Standaard"/>
    <w:link w:val="VoettekstChar"/>
    <w:uiPriority w:val="99"/>
    <w:unhideWhenUsed/>
    <w:rsid w:val="00E5161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5161F"/>
    <w:rPr>
      <w:sz w:val="24"/>
    </w:rPr>
  </w:style>
  <w:style w:type="character" w:styleId="Zwaar">
    <w:name w:val="Strong"/>
    <w:basedOn w:val="Standaardalinea-lettertype"/>
    <w:uiPriority w:val="22"/>
    <w:qFormat/>
    <w:rsid w:val="00E5161F"/>
    <w:rPr>
      <w:b/>
      <w:bCs/>
    </w:rPr>
  </w:style>
  <w:style w:type="paragraph" w:styleId="Voetnoottekst">
    <w:name w:val="footnote text"/>
    <w:basedOn w:val="Standaard"/>
    <w:link w:val="VoetnoottekstChar"/>
    <w:uiPriority w:val="99"/>
    <w:semiHidden/>
    <w:unhideWhenUsed/>
    <w:rsid w:val="00E5161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5161F"/>
    <w:rPr>
      <w:sz w:val="20"/>
      <w:szCs w:val="20"/>
    </w:rPr>
  </w:style>
  <w:style w:type="character" w:styleId="Voetnootmarkering">
    <w:name w:val="footnote reference"/>
    <w:basedOn w:val="Standaardalinea-lettertype"/>
    <w:uiPriority w:val="99"/>
    <w:semiHidden/>
    <w:unhideWhenUsed/>
    <w:rsid w:val="00E5161F"/>
    <w:rPr>
      <w:vertAlign w:val="superscript"/>
    </w:rPr>
  </w:style>
  <w:style w:type="character" w:styleId="Hyperlink">
    <w:name w:val="Hyperlink"/>
    <w:basedOn w:val="Standaardalinea-lettertype"/>
    <w:uiPriority w:val="99"/>
    <w:unhideWhenUsed/>
    <w:rsid w:val="00B375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upload.wikimedia.org/wikipedia/commons/d/da/Pittacos_Louvre_Ma_3572.jpg"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BF488-53AC-4A2E-B305-6F6BB5CAA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757</Words>
  <Characters>4169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Paul</cp:lastModifiedBy>
  <cp:revision>3</cp:revision>
  <cp:lastPrinted>2014-03-11T17:34:00Z</cp:lastPrinted>
  <dcterms:created xsi:type="dcterms:W3CDTF">2014-03-11T14:40:00Z</dcterms:created>
  <dcterms:modified xsi:type="dcterms:W3CDTF">2014-03-18T21:21:00Z</dcterms:modified>
</cp:coreProperties>
</file>